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79E7" w14:textId="21AACA1D" w:rsidR="00272ED0" w:rsidRPr="00EC00F5" w:rsidRDefault="00EC00F5" w:rsidP="009517C4">
      <w:pPr>
        <w:jc w:val="center"/>
        <w:rPr>
          <w:b/>
          <w:szCs w:val="24"/>
          <w:u w:val="single"/>
          <w:lang w:val="en-IE"/>
        </w:rPr>
      </w:pPr>
      <w:r w:rsidRPr="00EC00F5">
        <w:rPr>
          <w:b/>
          <w:szCs w:val="24"/>
          <w:u w:val="single"/>
          <w:lang w:val="en-IE"/>
        </w:rPr>
        <w:t xml:space="preserve">Raheny Business Association Annual General Meeting </w:t>
      </w:r>
    </w:p>
    <w:p w14:paraId="2654D8B4" w14:textId="0F91D1C0" w:rsidR="00A15309" w:rsidRDefault="00EC00F5" w:rsidP="00EC00F5">
      <w:pPr>
        <w:jc w:val="center"/>
        <w:rPr>
          <w:b/>
          <w:szCs w:val="24"/>
          <w:lang w:val="en-IE"/>
        </w:rPr>
      </w:pPr>
      <w:r>
        <w:rPr>
          <w:b/>
          <w:szCs w:val="24"/>
          <w:lang w:val="en-IE"/>
        </w:rPr>
        <w:t>Held by Zoom on Tuesday 26</w:t>
      </w:r>
      <w:r w:rsidRPr="00EC00F5">
        <w:rPr>
          <w:b/>
          <w:szCs w:val="24"/>
          <w:vertAlign w:val="superscript"/>
          <w:lang w:val="en-IE"/>
        </w:rPr>
        <w:t>th</w:t>
      </w:r>
      <w:r>
        <w:rPr>
          <w:b/>
          <w:szCs w:val="24"/>
          <w:lang w:val="en-IE"/>
        </w:rPr>
        <w:t xml:space="preserve"> January 2021 at 8.00 </w:t>
      </w:r>
      <w:r w:rsidR="005F6B96">
        <w:rPr>
          <w:b/>
          <w:szCs w:val="24"/>
          <w:lang w:val="en-IE"/>
        </w:rPr>
        <w:t>pm.</w:t>
      </w:r>
      <w:r>
        <w:rPr>
          <w:b/>
          <w:szCs w:val="24"/>
          <w:lang w:val="en-IE"/>
        </w:rPr>
        <w:t xml:space="preserve"> </w:t>
      </w:r>
    </w:p>
    <w:p w14:paraId="15938230" w14:textId="77777777" w:rsidR="00EC00F5" w:rsidRPr="00EC00F5" w:rsidRDefault="00EC00F5" w:rsidP="00EC00F5">
      <w:pPr>
        <w:jc w:val="center"/>
        <w:rPr>
          <w:b/>
          <w:szCs w:val="24"/>
          <w:lang w:val="en-IE"/>
        </w:rPr>
      </w:pPr>
    </w:p>
    <w:p w14:paraId="49669807" w14:textId="77777777" w:rsidR="0097254C" w:rsidRDefault="0097254C" w:rsidP="00272ED0">
      <w:pPr>
        <w:rPr>
          <w:b/>
          <w:szCs w:val="24"/>
          <w:u w:val="single"/>
          <w:lang w:val="en-IE"/>
        </w:rPr>
      </w:pPr>
      <w:r>
        <w:rPr>
          <w:b/>
          <w:szCs w:val="24"/>
          <w:u w:val="single"/>
          <w:lang w:val="en-IE"/>
        </w:rPr>
        <w:t xml:space="preserve">In Attendance </w:t>
      </w:r>
    </w:p>
    <w:p w14:paraId="48FFD107" w14:textId="67D711F4" w:rsidR="0097254C" w:rsidRDefault="0097254C" w:rsidP="00272ED0">
      <w:pPr>
        <w:rPr>
          <w:b/>
          <w:szCs w:val="24"/>
          <w:u w:val="single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3118"/>
        <w:gridCol w:w="1984"/>
        <w:gridCol w:w="516"/>
        <w:gridCol w:w="1605"/>
      </w:tblGrid>
      <w:tr w:rsidR="0097254C" w14:paraId="2EA45167" w14:textId="77777777" w:rsidTr="005F6B96">
        <w:tc>
          <w:tcPr>
            <w:tcW w:w="2406" w:type="dxa"/>
          </w:tcPr>
          <w:p w14:paraId="2CFBD5EA" w14:textId="3B567D16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  <w:r>
              <w:rPr>
                <w:b/>
                <w:szCs w:val="24"/>
                <w:u w:val="single"/>
                <w:lang w:val="en-IE"/>
              </w:rPr>
              <w:t xml:space="preserve">Committee Members  </w:t>
            </w:r>
          </w:p>
        </w:tc>
        <w:tc>
          <w:tcPr>
            <w:tcW w:w="3118" w:type="dxa"/>
          </w:tcPr>
          <w:p w14:paraId="53E0261A" w14:textId="0791CC61" w:rsidR="0097254C" w:rsidRPr="0097254C" w:rsidRDefault="005F6B96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Co-Chair</w:t>
            </w:r>
          </w:p>
        </w:tc>
        <w:tc>
          <w:tcPr>
            <w:tcW w:w="1984" w:type="dxa"/>
          </w:tcPr>
          <w:p w14:paraId="0BD5C86A" w14:textId="77777777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Claire Kenny</w:t>
            </w:r>
          </w:p>
          <w:p w14:paraId="59229766" w14:textId="07A47C55" w:rsidR="0097254C" w:rsidRP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Ross Tully</w:t>
            </w:r>
          </w:p>
        </w:tc>
        <w:tc>
          <w:tcPr>
            <w:tcW w:w="516" w:type="dxa"/>
          </w:tcPr>
          <w:p w14:paraId="1F1709BC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51DD376E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39864AB6" w14:textId="77777777" w:rsidTr="005F6B96">
        <w:tc>
          <w:tcPr>
            <w:tcW w:w="2406" w:type="dxa"/>
          </w:tcPr>
          <w:p w14:paraId="2FBFC5AD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6B0F440E" w14:textId="6C19767E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Hon Treasurer </w:t>
            </w:r>
          </w:p>
        </w:tc>
        <w:tc>
          <w:tcPr>
            <w:tcW w:w="1984" w:type="dxa"/>
          </w:tcPr>
          <w:p w14:paraId="43B2AE7E" w14:textId="71E26EE7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Michael Duffy </w:t>
            </w:r>
          </w:p>
        </w:tc>
        <w:tc>
          <w:tcPr>
            <w:tcW w:w="516" w:type="dxa"/>
          </w:tcPr>
          <w:p w14:paraId="38DCF6B5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0FF15CEB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21B20022" w14:textId="77777777" w:rsidTr="005F6B96">
        <w:tc>
          <w:tcPr>
            <w:tcW w:w="2406" w:type="dxa"/>
          </w:tcPr>
          <w:p w14:paraId="13712EA6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781757DD" w14:textId="146EF1C2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Hon Secretary </w:t>
            </w:r>
          </w:p>
        </w:tc>
        <w:tc>
          <w:tcPr>
            <w:tcW w:w="1984" w:type="dxa"/>
          </w:tcPr>
          <w:p w14:paraId="3292B704" w14:textId="5732ED20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John Meade </w:t>
            </w:r>
          </w:p>
        </w:tc>
        <w:tc>
          <w:tcPr>
            <w:tcW w:w="516" w:type="dxa"/>
          </w:tcPr>
          <w:p w14:paraId="4183E680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7C2E925D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5CB7479A" w14:textId="77777777" w:rsidTr="005F6B96">
        <w:tc>
          <w:tcPr>
            <w:tcW w:w="2406" w:type="dxa"/>
          </w:tcPr>
          <w:p w14:paraId="4D0E0C54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2EFBC324" w14:textId="749110C0" w:rsidR="0097254C" w:rsidRDefault="005F6B96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Coordinator</w:t>
            </w:r>
            <w:r w:rsidR="0097254C">
              <w:rPr>
                <w:b/>
                <w:szCs w:val="24"/>
                <w:lang w:val="en-IE"/>
              </w:rPr>
              <w:t xml:space="preserve"> </w:t>
            </w:r>
          </w:p>
        </w:tc>
        <w:tc>
          <w:tcPr>
            <w:tcW w:w="1984" w:type="dxa"/>
          </w:tcPr>
          <w:p w14:paraId="0B7A00A4" w14:textId="1DD47608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Barry Murphy</w:t>
            </w:r>
          </w:p>
        </w:tc>
        <w:tc>
          <w:tcPr>
            <w:tcW w:w="516" w:type="dxa"/>
          </w:tcPr>
          <w:p w14:paraId="62774EC5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1615C871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59D6D4BC" w14:textId="77777777" w:rsidTr="005F6B96">
        <w:tc>
          <w:tcPr>
            <w:tcW w:w="2406" w:type="dxa"/>
          </w:tcPr>
          <w:p w14:paraId="70D9637D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5ECA99CF" w14:textId="155790C5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From RTVG</w:t>
            </w:r>
          </w:p>
        </w:tc>
        <w:tc>
          <w:tcPr>
            <w:tcW w:w="1984" w:type="dxa"/>
          </w:tcPr>
          <w:p w14:paraId="5A9C3E9A" w14:textId="77777777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Con Clarke</w:t>
            </w:r>
          </w:p>
          <w:p w14:paraId="08877E1A" w14:textId="77777777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Robert Bishoff</w:t>
            </w:r>
          </w:p>
          <w:p w14:paraId="24547E37" w14:textId="77777777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Aidan Fitzsimons </w:t>
            </w:r>
          </w:p>
          <w:p w14:paraId="64DC51FD" w14:textId="77777777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John Gaffney</w:t>
            </w:r>
          </w:p>
          <w:p w14:paraId="1D7B8D84" w14:textId="1085DA3E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Fiona Freyne</w:t>
            </w:r>
          </w:p>
        </w:tc>
        <w:tc>
          <w:tcPr>
            <w:tcW w:w="516" w:type="dxa"/>
          </w:tcPr>
          <w:p w14:paraId="27F0C956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5B68AD8D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742D29D9" w14:textId="77777777" w:rsidTr="005F6B96">
        <w:tc>
          <w:tcPr>
            <w:tcW w:w="2406" w:type="dxa"/>
          </w:tcPr>
          <w:p w14:paraId="20C6895B" w14:textId="16816CF3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  <w:r>
              <w:rPr>
                <w:b/>
                <w:szCs w:val="24"/>
                <w:u w:val="single"/>
                <w:lang w:val="en-IE"/>
              </w:rPr>
              <w:t>Members</w:t>
            </w:r>
          </w:p>
        </w:tc>
        <w:tc>
          <w:tcPr>
            <w:tcW w:w="3118" w:type="dxa"/>
          </w:tcPr>
          <w:p w14:paraId="7B902113" w14:textId="00403B87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Raheny Shamrock</w:t>
            </w:r>
          </w:p>
        </w:tc>
        <w:tc>
          <w:tcPr>
            <w:tcW w:w="1984" w:type="dxa"/>
          </w:tcPr>
          <w:p w14:paraId="6351DEDF" w14:textId="766BE220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Dick Hooper</w:t>
            </w:r>
          </w:p>
        </w:tc>
        <w:tc>
          <w:tcPr>
            <w:tcW w:w="516" w:type="dxa"/>
          </w:tcPr>
          <w:p w14:paraId="56DFEC59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677AFC47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137282F5" w14:textId="77777777" w:rsidTr="005F6B96">
        <w:tc>
          <w:tcPr>
            <w:tcW w:w="2406" w:type="dxa"/>
          </w:tcPr>
          <w:p w14:paraId="3A2CD8C6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658504F6" w14:textId="5E1BEC43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Wicked Waxes</w:t>
            </w:r>
          </w:p>
        </w:tc>
        <w:tc>
          <w:tcPr>
            <w:tcW w:w="1984" w:type="dxa"/>
          </w:tcPr>
          <w:p w14:paraId="3B1C33D3" w14:textId="29B7D787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Linda Hogan</w:t>
            </w:r>
          </w:p>
        </w:tc>
        <w:tc>
          <w:tcPr>
            <w:tcW w:w="516" w:type="dxa"/>
          </w:tcPr>
          <w:p w14:paraId="43FCF30E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5A052BE9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768F914A" w14:textId="77777777" w:rsidTr="005F6B96">
        <w:tc>
          <w:tcPr>
            <w:tcW w:w="2406" w:type="dxa"/>
          </w:tcPr>
          <w:p w14:paraId="0C42DEC4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7C68BBAC" w14:textId="047ABC0B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RLM </w:t>
            </w:r>
          </w:p>
        </w:tc>
        <w:tc>
          <w:tcPr>
            <w:tcW w:w="1984" w:type="dxa"/>
          </w:tcPr>
          <w:p w14:paraId="58F4B7B5" w14:textId="2F8C6A4B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Padraic Clarke</w:t>
            </w:r>
          </w:p>
        </w:tc>
        <w:tc>
          <w:tcPr>
            <w:tcW w:w="516" w:type="dxa"/>
          </w:tcPr>
          <w:p w14:paraId="3F388F45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77DD0ED9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14A7EA21" w14:textId="77777777" w:rsidTr="005F6B96">
        <w:tc>
          <w:tcPr>
            <w:tcW w:w="2406" w:type="dxa"/>
          </w:tcPr>
          <w:p w14:paraId="60951359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52142209" w14:textId="6F61EA66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Grangepark Print</w:t>
            </w:r>
          </w:p>
        </w:tc>
        <w:tc>
          <w:tcPr>
            <w:tcW w:w="1984" w:type="dxa"/>
          </w:tcPr>
          <w:p w14:paraId="696A91E7" w14:textId="6B9250F5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Claire McCarron</w:t>
            </w:r>
          </w:p>
        </w:tc>
        <w:tc>
          <w:tcPr>
            <w:tcW w:w="516" w:type="dxa"/>
          </w:tcPr>
          <w:p w14:paraId="386C3491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2A297CDD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6C82408B" w14:textId="77777777" w:rsidTr="005F6B96">
        <w:tc>
          <w:tcPr>
            <w:tcW w:w="2406" w:type="dxa"/>
          </w:tcPr>
          <w:p w14:paraId="1DE3829D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3C16904F" w14:textId="27D6298B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Raheny Vets </w:t>
            </w:r>
          </w:p>
        </w:tc>
        <w:tc>
          <w:tcPr>
            <w:tcW w:w="1984" w:type="dxa"/>
          </w:tcPr>
          <w:p w14:paraId="48AB0748" w14:textId="5942A2F4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Helen Keating </w:t>
            </w:r>
          </w:p>
        </w:tc>
        <w:tc>
          <w:tcPr>
            <w:tcW w:w="516" w:type="dxa"/>
          </w:tcPr>
          <w:p w14:paraId="6443342A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01351564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45C17C0D" w14:textId="77777777" w:rsidTr="005F6B96">
        <w:tc>
          <w:tcPr>
            <w:tcW w:w="2406" w:type="dxa"/>
          </w:tcPr>
          <w:p w14:paraId="12A170D1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5671C343" w14:textId="7912CEA0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EBS</w:t>
            </w:r>
          </w:p>
        </w:tc>
        <w:tc>
          <w:tcPr>
            <w:tcW w:w="1984" w:type="dxa"/>
          </w:tcPr>
          <w:p w14:paraId="655CCA2A" w14:textId="10AEF72B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Ronnie Flood</w:t>
            </w:r>
          </w:p>
        </w:tc>
        <w:tc>
          <w:tcPr>
            <w:tcW w:w="516" w:type="dxa"/>
          </w:tcPr>
          <w:p w14:paraId="33C48B85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16293420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7C1EADFA" w14:textId="77777777" w:rsidTr="005F6B96">
        <w:tc>
          <w:tcPr>
            <w:tcW w:w="2406" w:type="dxa"/>
          </w:tcPr>
          <w:p w14:paraId="12E713D6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45F0B7E8" w14:textId="7CBEAF89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Make Health your Business</w:t>
            </w:r>
          </w:p>
        </w:tc>
        <w:tc>
          <w:tcPr>
            <w:tcW w:w="1984" w:type="dxa"/>
          </w:tcPr>
          <w:p w14:paraId="3ECC1DD7" w14:textId="5FFAB2D0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Anna O’Leary </w:t>
            </w:r>
          </w:p>
        </w:tc>
        <w:tc>
          <w:tcPr>
            <w:tcW w:w="516" w:type="dxa"/>
          </w:tcPr>
          <w:p w14:paraId="37A1A3C9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4F153853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52642048" w14:textId="77777777" w:rsidTr="005F6B96">
        <w:tc>
          <w:tcPr>
            <w:tcW w:w="2406" w:type="dxa"/>
          </w:tcPr>
          <w:p w14:paraId="1658773B" w14:textId="5AA9B0C3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  <w:r>
              <w:rPr>
                <w:b/>
                <w:szCs w:val="24"/>
                <w:u w:val="single"/>
                <w:lang w:val="en-IE"/>
              </w:rPr>
              <w:t>Business</w:t>
            </w:r>
          </w:p>
        </w:tc>
        <w:tc>
          <w:tcPr>
            <w:tcW w:w="3118" w:type="dxa"/>
          </w:tcPr>
          <w:p w14:paraId="5AE2E095" w14:textId="21F012C8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The Watermill</w:t>
            </w:r>
          </w:p>
        </w:tc>
        <w:tc>
          <w:tcPr>
            <w:tcW w:w="1984" w:type="dxa"/>
          </w:tcPr>
          <w:p w14:paraId="4CCE9F47" w14:textId="37B7B4BF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Orla Brennan</w:t>
            </w:r>
          </w:p>
        </w:tc>
        <w:tc>
          <w:tcPr>
            <w:tcW w:w="516" w:type="dxa"/>
          </w:tcPr>
          <w:p w14:paraId="2DC136E5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6863A955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  <w:tr w:rsidR="0097254C" w14:paraId="123C35D3" w14:textId="77777777" w:rsidTr="005F6B96">
        <w:tc>
          <w:tcPr>
            <w:tcW w:w="2406" w:type="dxa"/>
          </w:tcPr>
          <w:p w14:paraId="5B2CB8B4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3118" w:type="dxa"/>
          </w:tcPr>
          <w:p w14:paraId="5DB6C7DA" w14:textId="5B6A4674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Therapist/Counsellor</w:t>
            </w:r>
          </w:p>
        </w:tc>
        <w:tc>
          <w:tcPr>
            <w:tcW w:w="1984" w:type="dxa"/>
          </w:tcPr>
          <w:p w14:paraId="481DD6B4" w14:textId="7DC7E31A" w:rsidR="0097254C" w:rsidRDefault="0097254C" w:rsidP="00272ED0">
            <w:pPr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>Margaret Mara</w:t>
            </w:r>
          </w:p>
        </w:tc>
        <w:tc>
          <w:tcPr>
            <w:tcW w:w="516" w:type="dxa"/>
          </w:tcPr>
          <w:p w14:paraId="3BC28F6F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  <w:tc>
          <w:tcPr>
            <w:tcW w:w="1605" w:type="dxa"/>
          </w:tcPr>
          <w:p w14:paraId="32055936" w14:textId="77777777" w:rsidR="0097254C" w:rsidRDefault="0097254C" w:rsidP="00272ED0">
            <w:pPr>
              <w:rPr>
                <w:b/>
                <w:szCs w:val="24"/>
                <w:u w:val="single"/>
                <w:lang w:val="en-IE"/>
              </w:rPr>
            </w:pPr>
          </w:p>
        </w:tc>
      </w:tr>
    </w:tbl>
    <w:p w14:paraId="40D8A20B" w14:textId="77777777" w:rsidR="0097254C" w:rsidRDefault="0097254C" w:rsidP="00272ED0">
      <w:pPr>
        <w:rPr>
          <w:b/>
          <w:szCs w:val="24"/>
          <w:u w:val="single"/>
          <w:lang w:val="en-IE"/>
        </w:rPr>
      </w:pPr>
    </w:p>
    <w:p w14:paraId="4DDB8AF5" w14:textId="77777777" w:rsidR="0097254C" w:rsidRDefault="0097254C" w:rsidP="00A15309">
      <w:pPr>
        <w:tabs>
          <w:tab w:val="left" w:pos="142"/>
        </w:tabs>
        <w:rPr>
          <w:szCs w:val="24"/>
          <w:lang w:val="en-IE"/>
        </w:rPr>
      </w:pPr>
      <w:r>
        <w:rPr>
          <w:b/>
          <w:bCs/>
          <w:szCs w:val="24"/>
          <w:u w:val="single"/>
          <w:lang w:val="en-IE"/>
        </w:rPr>
        <w:t>Chairperson’s Address</w:t>
      </w:r>
      <w:r w:rsidR="00856AC3" w:rsidRPr="009517C4">
        <w:rPr>
          <w:b/>
          <w:bCs/>
          <w:szCs w:val="24"/>
          <w:u w:val="single"/>
          <w:lang w:val="en-IE"/>
        </w:rPr>
        <w:t>:</w:t>
      </w:r>
      <w:r w:rsidR="00C0230B" w:rsidRPr="009517C4">
        <w:rPr>
          <w:b/>
          <w:bCs/>
          <w:szCs w:val="24"/>
          <w:u w:val="single"/>
          <w:lang w:val="en-IE"/>
        </w:rPr>
        <w:t xml:space="preserve"> </w:t>
      </w:r>
      <w:r w:rsidR="00856AC3" w:rsidRPr="009517C4">
        <w:rPr>
          <w:szCs w:val="24"/>
          <w:lang w:val="en-IE"/>
        </w:rPr>
        <w:t xml:space="preserve"> </w:t>
      </w:r>
    </w:p>
    <w:p w14:paraId="052BAA7F" w14:textId="77777777" w:rsidR="0097254C" w:rsidRDefault="0097254C" w:rsidP="00A15309">
      <w:pPr>
        <w:tabs>
          <w:tab w:val="left" w:pos="142"/>
        </w:tabs>
        <w:rPr>
          <w:szCs w:val="24"/>
          <w:lang w:val="en-IE"/>
        </w:rPr>
      </w:pPr>
    </w:p>
    <w:p w14:paraId="07516C43" w14:textId="3AB36A6D" w:rsidR="00A15309" w:rsidRDefault="0097254C" w:rsidP="00A15309">
      <w:pPr>
        <w:tabs>
          <w:tab w:val="left" w:pos="142"/>
        </w:tabs>
        <w:rPr>
          <w:szCs w:val="24"/>
          <w:lang w:val="en-IE"/>
        </w:rPr>
      </w:pPr>
      <w:r>
        <w:rPr>
          <w:szCs w:val="24"/>
          <w:lang w:val="en-IE"/>
        </w:rPr>
        <w:t xml:space="preserve">Claire gave a detailed roundup of all that has happened in Raheny over the last 12 months, </w:t>
      </w:r>
      <w:r w:rsidR="008F20C1">
        <w:rPr>
          <w:szCs w:val="24"/>
          <w:lang w:val="en-IE"/>
        </w:rPr>
        <w:t xml:space="preserve">particularly from the time of the first lockdown in </w:t>
      </w:r>
      <w:r w:rsidR="005F6B96">
        <w:rPr>
          <w:szCs w:val="24"/>
          <w:lang w:val="en-IE"/>
        </w:rPr>
        <w:t>Mid-March</w:t>
      </w:r>
      <w:r w:rsidR="008F20C1">
        <w:rPr>
          <w:szCs w:val="24"/>
          <w:lang w:val="en-IE"/>
        </w:rPr>
        <w:t xml:space="preserve"> 2020. </w:t>
      </w:r>
    </w:p>
    <w:p w14:paraId="210A24A7" w14:textId="1D2CE9DF" w:rsidR="008F20C1" w:rsidRDefault="008F20C1" w:rsidP="00A15309">
      <w:pPr>
        <w:tabs>
          <w:tab w:val="left" w:pos="142"/>
        </w:tabs>
        <w:rPr>
          <w:szCs w:val="24"/>
          <w:lang w:val="en-IE"/>
        </w:rPr>
      </w:pPr>
    </w:p>
    <w:p w14:paraId="5F14C343" w14:textId="54C1A1DA" w:rsidR="008F20C1" w:rsidRDefault="008F20C1" w:rsidP="00A15309">
      <w:pPr>
        <w:tabs>
          <w:tab w:val="left" w:pos="142"/>
        </w:tabs>
        <w:rPr>
          <w:szCs w:val="24"/>
          <w:lang w:val="en-IE"/>
        </w:rPr>
      </w:pPr>
      <w:r>
        <w:rPr>
          <w:szCs w:val="24"/>
          <w:lang w:val="en-IE"/>
        </w:rPr>
        <w:t xml:space="preserve">Claire also lamented on the very sad passing of our friends and fellow Committee Members Seamus Griffith and Pat Hooper and the </w:t>
      </w:r>
      <w:r w:rsidR="005F6B96">
        <w:rPr>
          <w:szCs w:val="24"/>
          <w:lang w:val="en-IE"/>
        </w:rPr>
        <w:t>great</w:t>
      </w:r>
      <w:r>
        <w:rPr>
          <w:szCs w:val="24"/>
          <w:lang w:val="en-IE"/>
        </w:rPr>
        <w:t xml:space="preserve"> effort they both made not only into the Raheny Business Association, but also Raheny Tidy Village and Raheny Shamrock A.C.</w:t>
      </w:r>
    </w:p>
    <w:p w14:paraId="60A715C6" w14:textId="77777777" w:rsidR="008F20C1" w:rsidRDefault="008F20C1" w:rsidP="00A15309">
      <w:pPr>
        <w:tabs>
          <w:tab w:val="left" w:pos="142"/>
        </w:tabs>
        <w:rPr>
          <w:szCs w:val="24"/>
          <w:lang w:val="en-IE"/>
        </w:rPr>
      </w:pPr>
    </w:p>
    <w:p w14:paraId="40D9279A" w14:textId="08580B80" w:rsidR="00A15309" w:rsidRDefault="008F20C1" w:rsidP="00A15309">
      <w:pPr>
        <w:tabs>
          <w:tab w:val="left" w:pos="142"/>
        </w:tabs>
        <w:rPr>
          <w:szCs w:val="24"/>
          <w:lang w:val="en-IE"/>
        </w:rPr>
      </w:pPr>
      <w:r>
        <w:rPr>
          <w:b/>
          <w:bCs/>
          <w:szCs w:val="24"/>
          <w:u w:val="single"/>
          <w:lang w:val="en-IE"/>
        </w:rPr>
        <w:t xml:space="preserve">Treasurer’s </w:t>
      </w:r>
      <w:r w:rsidR="005F6B96">
        <w:rPr>
          <w:b/>
          <w:bCs/>
          <w:szCs w:val="24"/>
          <w:u w:val="single"/>
          <w:lang w:val="en-IE"/>
        </w:rPr>
        <w:t xml:space="preserve">Report </w:t>
      </w:r>
      <w:r w:rsidR="005F6B96">
        <w:rPr>
          <w:szCs w:val="24"/>
          <w:lang w:val="en-IE"/>
        </w:rPr>
        <w:t>–</w:t>
      </w:r>
      <w:r w:rsidR="00A15309">
        <w:rPr>
          <w:szCs w:val="24"/>
          <w:lang w:val="en-IE"/>
        </w:rPr>
        <w:t xml:space="preserve"> </w:t>
      </w:r>
      <w:r>
        <w:rPr>
          <w:szCs w:val="24"/>
          <w:lang w:val="en-IE"/>
        </w:rPr>
        <w:t>Michael Duffy asked John Meade to guide the attendance through the accounts of the RBA for the year ended 31</w:t>
      </w:r>
      <w:r w:rsidRPr="008F20C1">
        <w:rPr>
          <w:szCs w:val="24"/>
          <w:vertAlign w:val="superscript"/>
          <w:lang w:val="en-IE"/>
        </w:rPr>
        <w:t>st</w:t>
      </w:r>
      <w:r>
        <w:rPr>
          <w:szCs w:val="24"/>
          <w:lang w:val="en-IE"/>
        </w:rPr>
        <w:t xml:space="preserve"> December 2020. The overall Income and Expenditure Accounts was as follows:</w:t>
      </w:r>
    </w:p>
    <w:p w14:paraId="01E91274" w14:textId="6575A229" w:rsidR="008F20C1" w:rsidRDefault="008F20C1" w:rsidP="00A15309">
      <w:pPr>
        <w:tabs>
          <w:tab w:val="left" w:pos="142"/>
        </w:tabs>
        <w:rPr>
          <w:szCs w:val="24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8F20C1" w14:paraId="37480C7E" w14:textId="77777777" w:rsidTr="005F6B96">
        <w:tc>
          <w:tcPr>
            <w:tcW w:w="2407" w:type="dxa"/>
          </w:tcPr>
          <w:p w14:paraId="1FB9849E" w14:textId="77777777" w:rsidR="008F20C1" w:rsidRDefault="008F20C1" w:rsidP="00A15309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  <w:tc>
          <w:tcPr>
            <w:tcW w:w="2407" w:type="dxa"/>
          </w:tcPr>
          <w:p w14:paraId="2B215806" w14:textId="244C54F9" w:rsidR="008F20C1" w:rsidRPr="008F20C1" w:rsidRDefault="008F20C1" w:rsidP="008F20C1">
            <w:pPr>
              <w:tabs>
                <w:tab w:val="left" w:pos="142"/>
              </w:tabs>
              <w:jc w:val="center"/>
              <w:rPr>
                <w:b/>
                <w:bCs/>
                <w:szCs w:val="24"/>
                <w:u w:val="single"/>
                <w:lang w:val="en-IE"/>
              </w:rPr>
            </w:pPr>
            <w:r w:rsidRPr="008F20C1">
              <w:rPr>
                <w:b/>
                <w:bCs/>
                <w:szCs w:val="24"/>
                <w:u w:val="single"/>
                <w:lang w:val="en-IE"/>
              </w:rPr>
              <w:t>2020</w:t>
            </w:r>
          </w:p>
        </w:tc>
        <w:tc>
          <w:tcPr>
            <w:tcW w:w="2407" w:type="dxa"/>
          </w:tcPr>
          <w:p w14:paraId="393AA19E" w14:textId="74A55E87" w:rsidR="008F20C1" w:rsidRPr="008F20C1" w:rsidRDefault="008F20C1" w:rsidP="008F20C1">
            <w:pPr>
              <w:tabs>
                <w:tab w:val="left" w:pos="142"/>
              </w:tabs>
              <w:jc w:val="center"/>
              <w:rPr>
                <w:b/>
                <w:bCs/>
                <w:szCs w:val="24"/>
                <w:u w:val="single"/>
                <w:lang w:val="en-IE"/>
              </w:rPr>
            </w:pPr>
            <w:r w:rsidRPr="008F20C1">
              <w:rPr>
                <w:b/>
                <w:bCs/>
                <w:szCs w:val="24"/>
                <w:u w:val="single"/>
                <w:lang w:val="en-IE"/>
              </w:rPr>
              <w:t>2019</w:t>
            </w:r>
          </w:p>
        </w:tc>
        <w:tc>
          <w:tcPr>
            <w:tcW w:w="2408" w:type="dxa"/>
          </w:tcPr>
          <w:p w14:paraId="1956F029" w14:textId="77777777" w:rsidR="008F20C1" w:rsidRDefault="008F20C1" w:rsidP="00A15309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</w:tr>
      <w:tr w:rsidR="008F20C1" w14:paraId="3E2F09FD" w14:textId="77777777" w:rsidTr="005F6B96">
        <w:tc>
          <w:tcPr>
            <w:tcW w:w="2407" w:type="dxa"/>
          </w:tcPr>
          <w:p w14:paraId="431ED0EF" w14:textId="77777777" w:rsidR="008F20C1" w:rsidRDefault="008F20C1" w:rsidP="00A15309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  <w:tc>
          <w:tcPr>
            <w:tcW w:w="2407" w:type="dxa"/>
          </w:tcPr>
          <w:p w14:paraId="10422C48" w14:textId="2D9F12A4" w:rsidR="008F20C1" w:rsidRPr="008F20C1" w:rsidRDefault="008F20C1" w:rsidP="008F20C1">
            <w:pPr>
              <w:tabs>
                <w:tab w:val="left" w:pos="142"/>
              </w:tabs>
              <w:jc w:val="center"/>
              <w:rPr>
                <w:b/>
                <w:bCs/>
                <w:szCs w:val="24"/>
                <w:lang w:val="en-IE"/>
              </w:rPr>
            </w:pPr>
            <w:r w:rsidRPr="008F20C1">
              <w:rPr>
                <w:b/>
                <w:bCs/>
                <w:szCs w:val="24"/>
                <w:lang w:val="en-IE"/>
              </w:rPr>
              <w:t>€</w:t>
            </w:r>
          </w:p>
        </w:tc>
        <w:tc>
          <w:tcPr>
            <w:tcW w:w="2407" w:type="dxa"/>
          </w:tcPr>
          <w:p w14:paraId="55A97642" w14:textId="4A9AEE5A" w:rsidR="008F20C1" w:rsidRPr="008F20C1" w:rsidRDefault="008F20C1" w:rsidP="008F20C1">
            <w:pPr>
              <w:tabs>
                <w:tab w:val="left" w:pos="142"/>
              </w:tabs>
              <w:jc w:val="center"/>
              <w:rPr>
                <w:b/>
                <w:bCs/>
                <w:szCs w:val="24"/>
                <w:lang w:val="en-IE"/>
              </w:rPr>
            </w:pPr>
            <w:r w:rsidRPr="008F20C1">
              <w:rPr>
                <w:b/>
                <w:bCs/>
                <w:szCs w:val="24"/>
                <w:lang w:val="en-IE"/>
              </w:rPr>
              <w:t>€</w:t>
            </w:r>
          </w:p>
        </w:tc>
        <w:tc>
          <w:tcPr>
            <w:tcW w:w="2408" w:type="dxa"/>
          </w:tcPr>
          <w:p w14:paraId="612AB357" w14:textId="77777777" w:rsidR="008F20C1" w:rsidRDefault="008F20C1" w:rsidP="00A15309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</w:tr>
      <w:tr w:rsidR="008F20C1" w14:paraId="33F2569A" w14:textId="77777777" w:rsidTr="005F6B96">
        <w:tc>
          <w:tcPr>
            <w:tcW w:w="2407" w:type="dxa"/>
          </w:tcPr>
          <w:p w14:paraId="59E9F762" w14:textId="0DFA2D2E" w:rsidR="008F20C1" w:rsidRPr="00597478" w:rsidRDefault="008F20C1" w:rsidP="00A15309">
            <w:pPr>
              <w:tabs>
                <w:tab w:val="left" w:pos="142"/>
              </w:tabs>
              <w:rPr>
                <w:b/>
                <w:bCs/>
                <w:szCs w:val="24"/>
                <w:lang w:val="en-IE"/>
              </w:rPr>
            </w:pPr>
            <w:r w:rsidRPr="00597478">
              <w:rPr>
                <w:b/>
                <w:bCs/>
                <w:szCs w:val="24"/>
                <w:lang w:val="en-IE"/>
              </w:rPr>
              <w:t>Total Income</w:t>
            </w:r>
          </w:p>
        </w:tc>
        <w:tc>
          <w:tcPr>
            <w:tcW w:w="2407" w:type="dxa"/>
          </w:tcPr>
          <w:p w14:paraId="7FC44F14" w14:textId="1747B58D" w:rsidR="008F20C1" w:rsidRDefault="008F20C1" w:rsidP="008F20C1">
            <w:pPr>
              <w:tabs>
                <w:tab w:val="left" w:pos="142"/>
              </w:tabs>
              <w:jc w:val="center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20,328</w:t>
            </w:r>
          </w:p>
        </w:tc>
        <w:tc>
          <w:tcPr>
            <w:tcW w:w="2407" w:type="dxa"/>
          </w:tcPr>
          <w:p w14:paraId="291AA25C" w14:textId="139CDEC3" w:rsidR="008F20C1" w:rsidRDefault="008F20C1" w:rsidP="008F20C1">
            <w:pPr>
              <w:tabs>
                <w:tab w:val="left" w:pos="142"/>
              </w:tabs>
              <w:jc w:val="center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31,907</w:t>
            </w:r>
          </w:p>
        </w:tc>
        <w:tc>
          <w:tcPr>
            <w:tcW w:w="2408" w:type="dxa"/>
          </w:tcPr>
          <w:p w14:paraId="7DD37311" w14:textId="77777777" w:rsidR="008F20C1" w:rsidRDefault="008F20C1" w:rsidP="00A15309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</w:tr>
      <w:tr w:rsidR="008F20C1" w14:paraId="10965AC3" w14:textId="77777777" w:rsidTr="005F6B96">
        <w:tc>
          <w:tcPr>
            <w:tcW w:w="2407" w:type="dxa"/>
          </w:tcPr>
          <w:p w14:paraId="7DFCCF7B" w14:textId="022A6C84" w:rsidR="008F20C1" w:rsidRPr="00597478" w:rsidRDefault="008F20C1" w:rsidP="00A15309">
            <w:pPr>
              <w:tabs>
                <w:tab w:val="left" w:pos="142"/>
              </w:tabs>
              <w:rPr>
                <w:b/>
                <w:bCs/>
                <w:szCs w:val="24"/>
                <w:lang w:val="en-IE"/>
              </w:rPr>
            </w:pPr>
            <w:r w:rsidRPr="00597478">
              <w:rPr>
                <w:b/>
                <w:bCs/>
                <w:szCs w:val="24"/>
                <w:lang w:val="en-IE"/>
              </w:rPr>
              <w:t xml:space="preserve">Less Expenditure </w:t>
            </w:r>
          </w:p>
        </w:tc>
        <w:tc>
          <w:tcPr>
            <w:tcW w:w="2407" w:type="dxa"/>
          </w:tcPr>
          <w:p w14:paraId="66B09D63" w14:textId="327A9EBC" w:rsidR="008F20C1" w:rsidRPr="00597478" w:rsidRDefault="008F20C1" w:rsidP="008F20C1">
            <w:pPr>
              <w:tabs>
                <w:tab w:val="left" w:pos="142"/>
              </w:tabs>
              <w:jc w:val="center"/>
              <w:rPr>
                <w:szCs w:val="24"/>
                <w:u w:val="single"/>
                <w:lang w:val="en-IE"/>
              </w:rPr>
            </w:pPr>
            <w:r w:rsidRPr="00597478">
              <w:rPr>
                <w:szCs w:val="24"/>
                <w:u w:val="single"/>
                <w:lang w:val="en-IE"/>
              </w:rPr>
              <w:t>21,541</w:t>
            </w:r>
          </w:p>
        </w:tc>
        <w:tc>
          <w:tcPr>
            <w:tcW w:w="2407" w:type="dxa"/>
          </w:tcPr>
          <w:p w14:paraId="2092DAF9" w14:textId="087AC891" w:rsidR="008F20C1" w:rsidRPr="00597478" w:rsidRDefault="008F20C1" w:rsidP="008F20C1">
            <w:pPr>
              <w:tabs>
                <w:tab w:val="left" w:pos="142"/>
              </w:tabs>
              <w:jc w:val="center"/>
              <w:rPr>
                <w:szCs w:val="24"/>
                <w:u w:val="single"/>
                <w:lang w:val="en-IE"/>
              </w:rPr>
            </w:pPr>
            <w:r w:rsidRPr="00597478">
              <w:rPr>
                <w:szCs w:val="24"/>
                <w:u w:val="single"/>
                <w:lang w:val="en-IE"/>
              </w:rPr>
              <w:t>29,19</w:t>
            </w:r>
            <w:r w:rsidR="00434AC3">
              <w:rPr>
                <w:szCs w:val="24"/>
                <w:u w:val="single"/>
                <w:lang w:val="en-IE"/>
              </w:rPr>
              <w:t>4</w:t>
            </w:r>
          </w:p>
        </w:tc>
        <w:tc>
          <w:tcPr>
            <w:tcW w:w="2408" w:type="dxa"/>
          </w:tcPr>
          <w:p w14:paraId="3CE74D89" w14:textId="77777777" w:rsidR="008F20C1" w:rsidRDefault="008F20C1" w:rsidP="00A15309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</w:tr>
      <w:tr w:rsidR="008F20C1" w14:paraId="6AB7C4DF" w14:textId="77777777" w:rsidTr="005F6B96">
        <w:tc>
          <w:tcPr>
            <w:tcW w:w="2407" w:type="dxa"/>
          </w:tcPr>
          <w:p w14:paraId="53672ED4" w14:textId="347F9476" w:rsidR="008F20C1" w:rsidRPr="00597478" w:rsidRDefault="008F20C1" w:rsidP="00A15309">
            <w:pPr>
              <w:tabs>
                <w:tab w:val="left" w:pos="142"/>
              </w:tabs>
              <w:rPr>
                <w:b/>
                <w:bCs/>
                <w:szCs w:val="24"/>
                <w:lang w:val="en-IE"/>
              </w:rPr>
            </w:pPr>
            <w:r w:rsidRPr="00597478">
              <w:rPr>
                <w:b/>
                <w:bCs/>
                <w:szCs w:val="24"/>
                <w:lang w:val="en-IE"/>
              </w:rPr>
              <w:t>(Deficit) Surplus</w:t>
            </w:r>
          </w:p>
        </w:tc>
        <w:tc>
          <w:tcPr>
            <w:tcW w:w="2407" w:type="dxa"/>
          </w:tcPr>
          <w:p w14:paraId="387C6FD4" w14:textId="2C49C4AD" w:rsidR="008F20C1" w:rsidRPr="00597478" w:rsidRDefault="008F20C1" w:rsidP="008F20C1">
            <w:pPr>
              <w:tabs>
                <w:tab w:val="left" w:pos="142"/>
              </w:tabs>
              <w:jc w:val="center"/>
              <w:rPr>
                <w:szCs w:val="24"/>
                <w:u w:val="single"/>
                <w:lang w:val="en-IE"/>
              </w:rPr>
            </w:pPr>
            <w:r w:rsidRPr="00597478">
              <w:rPr>
                <w:szCs w:val="24"/>
                <w:u w:val="single"/>
                <w:lang w:val="en-IE"/>
              </w:rPr>
              <w:t>(1,213)</w:t>
            </w:r>
          </w:p>
        </w:tc>
        <w:tc>
          <w:tcPr>
            <w:tcW w:w="2407" w:type="dxa"/>
          </w:tcPr>
          <w:p w14:paraId="18DAF8AD" w14:textId="16AF7407" w:rsidR="008F20C1" w:rsidRPr="00597478" w:rsidRDefault="008F20C1" w:rsidP="008F20C1">
            <w:pPr>
              <w:tabs>
                <w:tab w:val="left" w:pos="142"/>
              </w:tabs>
              <w:jc w:val="center"/>
              <w:rPr>
                <w:szCs w:val="24"/>
                <w:u w:val="single"/>
                <w:lang w:val="en-IE"/>
              </w:rPr>
            </w:pPr>
            <w:r w:rsidRPr="00597478">
              <w:rPr>
                <w:szCs w:val="24"/>
                <w:u w:val="single"/>
                <w:lang w:val="en-IE"/>
              </w:rPr>
              <w:t>2,713</w:t>
            </w:r>
          </w:p>
        </w:tc>
        <w:tc>
          <w:tcPr>
            <w:tcW w:w="2408" w:type="dxa"/>
          </w:tcPr>
          <w:p w14:paraId="2382C477" w14:textId="77777777" w:rsidR="008F20C1" w:rsidRDefault="008F20C1" w:rsidP="00A15309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</w:tr>
    </w:tbl>
    <w:p w14:paraId="6CDAFDAC" w14:textId="21A59377" w:rsidR="008F20C1" w:rsidRDefault="008F20C1" w:rsidP="00A15309">
      <w:pPr>
        <w:tabs>
          <w:tab w:val="left" w:pos="142"/>
        </w:tabs>
        <w:rPr>
          <w:szCs w:val="24"/>
          <w:lang w:val="en-IE"/>
        </w:rPr>
      </w:pPr>
    </w:p>
    <w:p w14:paraId="68170E80" w14:textId="57942F46" w:rsidR="005F6B96" w:rsidRDefault="005F6B96" w:rsidP="00A15309">
      <w:pPr>
        <w:tabs>
          <w:tab w:val="left" w:pos="142"/>
        </w:tabs>
        <w:rPr>
          <w:szCs w:val="24"/>
          <w:lang w:val="en-IE"/>
        </w:rPr>
      </w:pPr>
    </w:p>
    <w:p w14:paraId="6AE6640C" w14:textId="77777777" w:rsidR="005F6B96" w:rsidRDefault="005F6B96" w:rsidP="00A15309">
      <w:pPr>
        <w:tabs>
          <w:tab w:val="left" w:pos="142"/>
        </w:tabs>
        <w:rPr>
          <w:szCs w:val="24"/>
          <w:lang w:val="en-IE"/>
        </w:rPr>
      </w:pPr>
    </w:p>
    <w:p w14:paraId="66838027" w14:textId="42D99933" w:rsidR="00A15309" w:rsidRDefault="00597478" w:rsidP="00A15309">
      <w:pPr>
        <w:tabs>
          <w:tab w:val="left" w:pos="142"/>
        </w:tabs>
        <w:rPr>
          <w:szCs w:val="24"/>
          <w:lang w:val="en-IE"/>
        </w:rPr>
      </w:pPr>
      <w:r>
        <w:rPr>
          <w:szCs w:val="24"/>
          <w:lang w:val="en-IE"/>
        </w:rPr>
        <w:lastRenderedPageBreak/>
        <w:t xml:space="preserve">Not surprisingly the Association had a small deficit in 2020. </w:t>
      </w:r>
    </w:p>
    <w:p w14:paraId="30D715FD" w14:textId="77777777" w:rsidR="005F6B96" w:rsidRDefault="005F6B96" w:rsidP="00A15309">
      <w:pPr>
        <w:tabs>
          <w:tab w:val="left" w:pos="142"/>
        </w:tabs>
        <w:rPr>
          <w:szCs w:val="24"/>
          <w:lang w:val="en-IE"/>
        </w:rPr>
      </w:pPr>
    </w:p>
    <w:p w14:paraId="707AE9A7" w14:textId="3BE43030" w:rsidR="00597478" w:rsidRDefault="00597478" w:rsidP="00A15309">
      <w:pPr>
        <w:tabs>
          <w:tab w:val="left" w:pos="142"/>
        </w:tabs>
        <w:rPr>
          <w:szCs w:val="24"/>
          <w:lang w:val="en-IE"/>
        </w:rPr>
      </w:pPr>
      <w:r>
        <w:rPr>
          <w:szCs w:val="24"/>
          <w:lang w:val="en-IE"/>
        </w:rPr>
        <w:t xml:space="preserve">The main drop in both Income and Expenditure related to the flowers where they were not utilised this year due to both Covid and Issues with supply. </w:t>
      </w:r>
    </w:p>
    <w:p w14:paraId="3C1987F1" w14:textId="3A80EE9C" w:rsidR="00597478" w:rsidRDefault="00597478" w:rsidP="00A15309">
      <w:pPr>
        <w:tabs>
          <w:tab w:val="left" w:pos="142"/>
        </w:tabs>
        <w:rPr>
          <w:szCs w:val="24"/>
          <w:lang w:val="en-IE"/>
        </w:rPr>
      </w:pPr>
    </w:p>
    <w:p w14:paraId="7F4EAA23" w14:textId="64F41002" w:rsidR="00597478" w:rsidRDefault="00597478" w:rsidP="00A15309">
      <w:pPr>
        <w:tabs>
          <w:tab w:val="left" w:pos="142"/>
        </w:tabs>
        <w:rPr>
          <w:szCs w:val="24"/>
          <w:lang w:val="en-IE"/>
        </w:rPr>
      </w:pPr>
      <w:r>
        <w:rPr>
          <w:szCs w:val="24"/>
          <w:lang w:val="en-IE"/>
        </w:rPr>
        <w:t xml:space="preserve">€2,538 was expended on Coronavirus printing and signs. </w:t>
      </w:r>
    </w:p>
    <w:p w14:paraId="0217148A" w14:textId="4A7BB69E" w:rsidR="00597478" w:rsidRDefault="00597478" w:rsidP="00A15309">
      <w:pPr>
        <w:tabs>
          <w:tab w:val="left" w:pos="142"/>
        </w:tabs>
        <w:rPr>
          <w:szCs w:val="24"/>
          <w:lang w:val="en-IE"/>
        </w:rPr>
      </w:pPr>
    </w:p>
    <w:p w14:paraId="0719A5FE" w14:textId="2A5E84F3" w:rsidR="00597478" w:rsidRDefault="00597478" w:rsidP="00A15309">
      <w:pPr>
        <w:tabs>
          <w:tab w:val="left" w:pos="142"/>
        </w:tabs>
        <w:rPr>
          <w:szCs w:val="24"/>
          <w:lang w:val="en-IE"/>
        </w:rPr>
      </w:pPr>
      <w:r>
        <w:rPr>
          <w:szCs w:val="24"/>
          <w:lang w:val="en-IE"/>
        </w:rPr>
        <w:t>The Balance Sheet as at 31</w:t>
      </w:r>
      <w:r w:rsidRPr="00597478">
        <w:rPr>
          <w:szCs w:val="24"/>
          <w:vertAlign w:val="superscript"/>
          <w:lang w:val="en-IE"/>
        </w:rPr>
        <w:t>st</w:t>
      </w:r>
      <w:r>
        <w:rPr>
          <w:szCs w:val="24"/>
          <w:lang w:val="en-IE"/>
        </w:rPr>
        <w:t xml:space="preserve"> December 2020 shows reserves as follows: </w:t>
      </w:r>
    </w:p>
    <w:p w14:paraId="4D1EEB9F" w14:textId="31A4B32B" w:rsidR="00597478" w:rsidRDefault="00597478" w:rsidP="00A15309">
      <w:pPr>
        <w:tabs>
          <w:tab w:val="left" w:pos="142"/>
        </w:tabs>
        <w:rPr>
          <w:szCs w:val="24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981"/>
        <w:gridCol w:w="2408"/>
      </w:tblGrid>
      <w:tr w:rsidR="00597478" w14:paraId="3860AE2A" w14:textId="77777777" w:rsidTr="005F6B96">
        <w:tc>
          <w:tcPr>
            <w:tcW w:w="3397" w:type="dxa"/>
          </w:tcPr>
          <w:p w14:paraId="6C6439ED" w14:textId="77777777" w:rsidR="00597478" w:rsidRDefault="00597478" w:rsidP="00E824BE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5C0F3088" w14:textId="77777777" w:rsidR="00597478" w:rsidRPr="008F20C1" w:rsidRDefault="00597478" w:rsidP="00E824BE">
            <w:pPr>
              <w:tabs>
                <w:tab w:val="left" w:pos="142"/>
              </w:tabs>
              <w:jc w:val="center"/>
              <w:rPr>
                <w:b/>
                <w:bCs/>
                <w:szCs w:val="24"/>
                <w:u w:val="single"/>
                <w:lang w:val="en-IE"/>
              </w:rPr>
            </w:pPr>
            <w:r w:rsidRPr="008F20C1">
              <w:rPr>
                <w:b/>
                <w:bCs/>
                <w:szCs w:val="24"/>
                <w:u w:val="single"/>
                <w:lang w:val="en-IE"/>
              </w:rPr>
              <w:t>2020</w:t>
            </w:r>
          </w:p>
        </w:tc>
        <w:tc>
          <w:tcPr>
            <w:tcW w:w="1981" w:type="dxa"/>
          </w:tcPr>
          <w:p w14:paraId="4DC5BFED" w14:textId="77777777" w:rsidR="00597478" w:rsidRPr="008F20C1" w:rsidRDefault="00597478" w:rsidP="00E824BE">
            <w:pPr>
              <w:tabs>
                <w:tab w:val="left" w:pos="142"/>
              </w:tabs>
              <w:jc w:val="center"/>
              <w:rPr>
                <w:b/>
                <w:bCs/>
                <w:szCs w:val="24"/>
                <w:u w:val="single"/>
                <w:lang w:val="en-IE"/>
              </w:rPr>
            </w:pPr>
            <w:r w:rsidRPr="008F20C1">
              <w:rPr>
                <w:b/>
                <w:bCs/>
                <w:szCs w:val="24"/>
                <w:u w:val="single"/>
                <w:lang w:val="en-IE"/>
              </w:rPr>
              <w:t>2019</w:t>
            </w:r>
          </w:p>
        </w:tc>
        <w:tc>
          <w:tcPr>
            <w:tcW w:w="2408" w:type="dxa"/>
          </w:tcPr>
          <w:p w14:paraId="3660BDDE" w14:textId="77777777" w:rsidR="00597478" w:rsidRDefault="00597478" w:rsidP="00E824BE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</w:tr>
      <w:tr w:rsidR="00597478" w14:paraId="4CAC8364" w14:textId="77777777" w:rsidTr="005F6B96">
        <w:tc>
          <w:tcPr>
            <w:tcW w:w="3397" w:type="dxa"/>
          </w:tcPr>
          <w:p w14:paraId="700643CB" w14:textId="77777777" w:rsidR="00597478" w:rsidRDefault="00597478" w:rsidP="00E824BE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3B63A7FA" w14:textId="77777777" w:rsidR="00597478" w:rsidRPr="008F20C1" w:rsidRDefault="00597478" w:rsidP="00E824BE">
            <w:pPr>
              <w:tabs>
                <w:tab w:val="left" w:pos="142"/>
              </w:tabs>
              <w:jc w:val="center"/>
              <w:rPr>
                <w:b/>
                <w:bCs/>
                <w:szCs w:val="24"/>
                <w:lang w:val="en-IE"/>
              </w:rPr>
            </w:pPr>
            <w:r w:rsidRPr="008F20C1">
              <w:rPr>
                <w:b/>
                <w:bCs/>
                <w:szCs w:val="24"/>
                <w:lang w:val="en-IE"/>
              </w:rPr>
              <w:t>€</w:t>
            </w:r>
          </w:p>
        </w:tc>
        <w:tc>
          <w:tcPr>
            <w:tcW w:w="1981" w:type="dxa"/>
          </w:tcPr>
          <w:p w14:paraId="792FE494" w14:textId="77777777" w:rsidR="00597478" w:rsidRPr="008F20C1" w:rsidRDefault="00597478" w:rsidP="00E824BE">
            <w:pPr>
              <w:tabs>
                <w:tab w:val="left" w:pos="142"/>
              </w:tabs>
              <w:jc w:val="center"/>
              <w:rPr>
                <w:b/>
                <w:bCs/>
                <w:szCs w:val="24"/>
                <w:lang w:val="en-IE"/>
              </w:rPr>
            </w:pPr>
            <w:r w:rsidRPr="008F20C1">
              <w:rPr>
                <w:b/>
                <w:bCs/>
                <w:szCs w:val="24"/>
                <w:lang w:val="en-IE"/>
              </w:rPr>
              <w:t>€</w:t>
            </w:r>
          </w:p>
        </w:tc>
        <w:tc>
          <w:tcPr>
            <w:tcW w:w="2408" w:type="dxa"/>
          </w:tcPr>
          <w:p w14:paraId="3D60FBE6" w14:textId="77777777" w:rsidR="00597478" w:rsidRDefault="00597478" w:rsidP="00E824BE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</w:tr>
      <w:tr w:rsidR="00597478" w14:paraId="40F972C4" w14:textId="77777777" w:rsidTr="005F6B96">
        <w:tc>
          <w:tcPr>
            <w:tcW w:w="3397" w:type="dxa"/>
          </w:tcPr>
          <w:p w14:paraId="11396F32" w14:textId="15B8F008" w:rsidR="00597478" w:rsidRPr="00597478" w:rsidRDefault="00597478" w:rsidP="00E824BE">
            <w:pPr>
              <w:tabs>
                <w:tab w:val="left" w:pos="142"/>
              </w:tabs>
              <w:rPr>
                <w:b/>
                <w:bCs/>
                <w:szCs w:val="24"/>
                <w:lang w:val="en-IE"/>
              </w:rPr>
            </w:pPr>
            <w:r>
              <w:rPr>
                <w:b/>
                <w:bCs/>
                <w:szCs w:val="24"/>
                <w:lang w:val="en-IE"/>
              </w:rPr>
              <w:t xml:space="preserve">Associations Capital Account </w:t>
            </w:r>
          </w:p>
        </w:tc>
        <w:tc>
          <w:tcPr>
            <w:tcW w:w="1843" w:type="dxa"/>
          </w:tcPr>
          <w:p w14:paraId="636B78CD" w14:textId="464C881E" w:rsidR="00597478" w:rsidRPr="00597478" w:rsidRDefault="00597478" w:rsidP="00E824BE">
            <w:pPr>
              <w:tabs>
                <w:tab w:val="left" w:pos="142"/>
              </w:tabs>
              <w:jc w:val="center"/>
              <w:rPr>
                <w:szCs w:val="24"/>
                <w:u w:val="double"/>
                <w:lang w:val="en-IE"/>
              </w:rPr>
            </w:pPr>
            <w:r w:rsidRPr="00597478">
              <w:rPr>
                <w:szCs w:val="24"/>
                <w:u w:val="double"/>
                <w:lang w:val="en-IE"/>
              </w:rPr>
              <w:t>2,708</w:t>
            </w:r>
          </w:p>
        </w:tc>
        <w:tc>
          <w:tcPr>
            <w:tcW w:w="1981" w:type="dxa"/>
          </w:tcPr>
          <w:p w14:paraId="2D062DAF" w14:textId="07F26789" w:rsidR="00597478" w:rsidRPr="00597478" w:rsidRDefault="00597478" w:rsidP="00E824BE">
            <w:pPr>
              <w:tabs>
                <w:tab w:val="left" w:pos="142"/>
              </w:tabs>
              <w:jc w:val="center"/>
              <w:rPr>
                <w:szCs w:val="24"/>
                <w:u w:val="double"/>
                <w:lang w:val="en-IE"/>
              </w:rPr>
            </w:pPr>
            <w:r w:rsidRPr="00597478">
              <w:rPr>
                <w:szCs w:val="24"/>
                <w:u w:val="double"/>
                <w:lang w:val="en-IE"/>
              </w:rPr>
              <w:t>3,921</w:t>
            </w:r>
          </w:p>
        </w:tc>
        <w:tc>
          <w:tcPr>
            <w:tcW w:w="2408" w:type="dxa"/>
          </w:tcPr>
          <w:p w14:paraId="61136AEA" w14:textId="77777777" w:rsidR="00597478" w:rsidRDefault="00597478" w:rsidP="00E824BE">
            <w:pPr>
              <w:tabs>
                <w:tab w:val="left" w:pos="142"/>
              </w:tabs>
              <w:rPr>
                <w:szCs w:val="24"/>
                <w:lang w:val="en-IE"/>
              </w:rPr>
            </w:pPr>
          </w:p>
        </w:tc>
      </w:tr>
    </w:tbl>
    <w:p w14:paraId="167A498C" w14:textId="77777777" w:rsidR="00597478" w:rsidRDefault="00597478" w:rsidP="00A15309">
      <w:pPr>
        <w:tabs>
          <w:tab w:val="left" w:pos="142"/>
        </w:tabs>
        <w:rPr>
          <w:szCs w:val="24"/>
          <w:lang w:val="en-IE"/>
        </w:rPr>
      </w:pPr>
    </w:p>
    <w:p w14:paraId="1FB65870" w14:textId="5CED74E9" w:rsidR="00597478" w:rsidRDefault="00597478" w:rsidP="00A15309">
      <w:pPr>
        <w:tabs>
          <w:tab w:val="left" w:pos="142"/>
        </w:tabs>
        <w:rPr>
          <w:szCs w:val="24"/>
          <w:lang w:val="en-IE"/>
        </w:rPr>
      </w:pPr>
      <w:r>
        <w:rPr>
          <w:szCs w:val="24"/>
          <w:lang w:val="en-IE"/>
        </w:rPr>
        <w:t xml:space="preserve">The drop in reserves of €1,213 related to the deficit in the Income and Expenditure Account of €1,213. </w:t>
      </w:r>
    </w:p>
    <w:p w14:paraId="04680902" w14:textId="77777777" w:rsidR="00597478" w:rsidRDefault="00597478" w:rsidP="00A15309">
      <w:pPr>
        <w:tabs>
          <w:tab w:val="left" w:pos="142"/>
        </w:tabs>
        <w:rPr>
          <w:szCs w:val="24"/>
          <w:lang w:val="en-IE"/>
        </w:rPr>
      </w:pPr>
    </w:p>
    <w:p w14:paraId="646EE5AA" w14:textId="0340F212" w:rsidR="00597478" w:rsidRDefault="00597478" w:rsidP="00A15309">
      <w:pPr>
        <w:tabs>
          <w:tab w:val="left" w:pos="142"/>
        </w:tabs>
        <w:rPr>
          <w:szCs w:val="24"/>
          <w:lang w:val="en-IE"/>
        </w:rPr>
      </w:pPr>
      <w:r>
        <w:rPr>
          <w:b/>
          <w:bCs/>
          <w:szCs w:val="24"/>
          <w:u w:val="single"/>
          <w:lang w:val="en-IE"/>
        </w:rPr>
        <w:t xml:space="preserve">Election of </w:t>
      </w:r>
      <w:r w:rsidR="00A15309">
        <w:rPr>
          <w:b/>
          <w:bCs/>
          <w:szCs w:val="24"/>
          <w:u w:val="single"/>
          <w:lang w:val="en-IE"/>
        </w:rPr>
        <w:t xml:space="preserve">Committee </w:t>
      </w:r>
      <w:r w:rsidR="00A15309">
        <w:rPr>
          <w:szCs w:val="24"/>
          <w:lang w:val="en-IE"/>
        </w:rPr>
        <w:t xml:space="preserve">-  </w:t>
      </w:r>
    </w:p>
    <w:p w14:paraId="40369437" w14:textId="77777777" w:rsidR="00597478" w:rsidRDefault="00597478" w:rsidP="00A15309">
      <w:pPr>
        <w:tabs>
          <w:tab w:val="left" w:pos="142"/>
        </w:tabs>
        <w:rPr>
          <w:szCs w:val="24"/>
          <w:lang w:val="en-IE"/>
        </w:rPr>
      </w:pPr>
    </w:p>
    <w:p w14:paraId="4D05A5BD" w14:textId="2CB07B3A" w:rsidR="00A15309" w:rsidRDefault="00597478" w:rsidP="00A15309">
      <w:pPr>
        <w:tabs>
          <w:tab w:val="left" w:pos="142"/>
        </w:tabs>
        <w:rPr>
          <w:szCs w:val="24"/>
          <w:lang w:val="en-IE"/>
        </w:rPr>
      </w:pPr>
      <w:r>
        <w:rPr>
          <w:szCs w:val="24"/>
          <w:lang w:val="en-IE"/>
        </w:rPr>
        <w:t>All are sad to see Jacqui Cheevers and Auveen Bell retiring, Claire Kenny thanked both for their great service to the RBA</w:t>
      </w:r>
      <w:r w:rsidR="00A15309">
        <w:rPr>
          <w:szCs w:val="24"/>
          <w:lang w:val="en-IE"/>
        </w:rPr>
        <w:t>.</w:t>
      </w:r>
      <w:r>
        <w:rPr>
          <w:szCs w:val="24"/>
          <w:lang w:val="en-IE"/>
        </w:rPr>
        <w:t xml:space="preserve">  All other Committee Members offered themselves for re-election and all were duly re-appointed. </w:t>
      </w:r>
    </w:p>
    <w:p w14:paraId="4F6A7189" w14:textId="419267B7" w:rsidR="00A15309" w:rsidRDefault="00A15309" w:rsidP="00A15309">
      <w:pPr>
        <w:tabs>
          <w:tab w:val="left" w:pos="142"/>
        </w:tabs>
        <w:rPr>
          <w:szCs w:val="24"/>
          <w:lang w:val="en-IE"/>
        </w:rPr>
      </w:pPr>
    </w:p>
    <w:p w14:paraId="178E3E78" w14:textId="77777777" w:rsidR="00597478" w:rsidRDefault="00597478" w:rsidP="00A15309">
      <w:pPr>
        <w:tabs>
          <w:tab w:val="left" w:pos="142"/>
        </w:tabs>
        <w:rPr>
          <w:szCs w:val="24"/>
          <w:lang w:val="en-IE"/>
        </w:rPr>
      </w:pPr>
      <w:r>
        <w:rPr>
          <w:b/>
          <w:bCs/>
          <w:szCs w:val="24"/>
          <w:u w:val="single"/>
          <w:lang w:val="en-IE"/>
        </w:rPr>
        <w:t>Election of Accountant</w:t>
      </w:r>
      <w:r w:rsidR="00A15309">
        <w:rPr>
          <w:szCs w:val="24"/>
          <w:lang w:val="en-IE"/>
        </w:rPr>
        <w:t xml:space="preserve"> –</w:t>
      </w:r>
    </w:p>
    <w:p w14:paraId="56313226" w14:textId="77777777" w:rsidR="00597478" w:rsidRDefault="00597478" w:rsidP="00A15309">
      <w:pPr>
        <w:tabs>
          <w:tab w:val="left" w:pos="142"/>
        </w:tabs>
        <w:rPr>
          <w:szCs w:val="24"/>
          <w:lang w:val="en-IE"/>
        </w:rPr>
      </w:pPr>
    </w:p>
    <w:p w14:paraId="28A1B43E" w14:textId="55A69E21" w:rsidR="00A15309" w:rsidRDefault="00597478" w:rsidP="00A15309">
      <w:pPr>
        <w:tabs>
          <w:tab w:val="left" w:pos="142"/>
        </w:tabs>
        <w:rPr>
          <w:szCs w:val="24"/>
          <w:lang w:val="en-IE"/>
        </w:rPr>
      </w:pPr>
      <w:r>
        <w:rPr>
          <w:szCs w:val="24"/>
          <w:lang w:val="en-IE"/>
        </w:rPr>
        <w:t>J.</w:t>
      </w:r>
      <w:r w:rsidR="005F6B96">
        <w:rPr>
          <w:szCs w:val="24"/>
          <w:lang w:val="en-IE"/>
        </w:rPr>
        <w:t xml:space="preserve"> Meade</w:t>
      </w:r>
      <w:r>
        <w:rPr>
          <w:szCs w:val="24"/>
          <w:lang w:val="en-IE"/>
        </w:rPr>
        <w:t xml:space="preserve"> and Company offered themselves for re-election and were duly re-appointed. </w:t>
      </w:r>
      <w:r w:rsidR="005F6B96">
        <w:rPr>
          <w:szCs w:val="24"/>
          <w:lang w:val="en-IE"/>
        </w:rPr>
        <w:t xml:space="preserve"> </w:t>
      </w:r>
    </w:p>
    <w:p w14:paraId="19D18349" w14:textId="15A65573" w:rsidR="005C73FF" w:rsidRDefault="005C73FF" w:rsidP="00A15309">
      <w:pPr>
        <w:tabs>
          <w:tab w:val="left" w:pos="142"/>
        </w:tabs>
        <w:rPr>
          <w:szCs w:val="24"/>
          <w:lang w:val="en-IE"/>
        </w:rPr>
      </w:pPr>
    </w:p>
    <w:p w14:paraId="430BB6F0" w14:textId="1EEAA46E" w:rsidR="005F6B96" w:rsidRDefault="005F6B96" w:rsidP="00A15309">
      <w:pPr>
        <w:tabs>
          <w:tab w:val="left" w:pos="142"/>
        </w:tabs>
        <w:rPr>
          <w:szCs w:val="24"/>
          <w:lang w:val="en-IE"/>
        </w:rPr>
      </w:pPr>
      <w:r>
        <w:rPr>
          <w:b/>
          <w:bCs/>
          <w:szCs w:val="24"/>
          <w:u w:val="single"/>
          <w:lang w:val="en-IE"/>
        </w:rPr>
        <w:t xml:space="preserve">Any other Business </w:t>
      </w:r>
      <w:r>
        <w:rPr>
          <w:szCs w:val="24"/>
          <w:lang w:val="en-IE"/>
        </w:rPr>
        <w:t>–</w:t>
      </w:r>
      <w:r w:rsidR="005C73FF">
        <w:rPr>
          <w:szCs w:val="24"/>
          <w:lang w:val="en-IE"/>
        </w:rPr>
        <w:t xml:space="preserve"> </w:t>
      </w:r>
    </w:p>
    <w:p w14:paraId="5039FBE0" w14:textId="77777777" w:rsidR="005F6B96" w:rsidRDefault="005F6B96" w:rsidP="00A15309">
      <w:pPr>
        <w:tabs>
          <w:tab w:val="left" w:pos="142"/>
        </w:tabs>
        <w:rPr>
          <w:szCs w:val="24"/>
          <w:lang w:val="en-IE"/>
        </w:rPr>
      </w:pPr>
    </w:p>
    <w:p w14:paraId="2928CCA9" w14:textId="334432AC" w:rsidR="005C73FF" w:rsidRDefault="005F6B96" w:rsidP="00A15309">
      <w:pPr>
        <w:tabs>
          <w:tab w:val="left" w:pos="142"/>
        </w:tabs>
        <w:rPr>
          <w:szCs w:val="24"/>
          <w:lang w:val="en-IE"/>
        </w:rPr>
      </w:pPr>
      <w:r>
        <w:rPr>
          <w:szCs w:val="24"/>
          <w:lang w:val="en-IE"/>
        </w:rPr>
        <w:t xml:space="preserve">There were no other items listed or brought up under Any other Business.  There being no further business the meeting was duly closed by Claire Kenny. </w:t>
      </w:r>
    </w:p>
    <w:p w14:paraId="128C228E" w14:textId="2516689F" w:rsidR="005C73FF" w:rsidRDefault="005C73FF" w:rsidP="00A15309">
      <w:pPr>
        <w:tabs>
          <w:tab w:val="left" w:pos="142"/>
        </w:tabs>
        <w:rPr>
          <w:szCs w:val="24"/>
          <w:lang w:val="en-IE"/>
        </w:rPr>
      </w:pPr>
    </w:p>
    <w:p w14:paraId="09F5638C" w14:textId="581CD200" w:rsidR="0011446E" w:rsidRDefault="005F6B96" w:rsidP="00E96457">
      <w:pPr>
        <w:rPr>
          <w:bCs/>
          <w:szCs w:val="24"/>
          <w:lang w:val="en-IE"/>
        </w:rPr>
      </w:pPr>
      <w:r>
        <w:rPr>
          <w:bCs/>
          <w:szCs w:val="24"/>
          <w:lang w:val="en-IE"/>
        </w:rPr>
        <w:t xml:space="preserve">Signed: </w:t>
      </w:r>
    </w:p>
    <w:p w14:paraId="4D285A38" w14:textId="2019EA91" w:rsidR="0011446E" w:rsidRDefault="0011446E" w:rsidP="00E96457">
      <w:pPr>
        <w:rPr>
          <w:bCs/>
          <w:szCs w:val="24"/>
          <w:lang w:val="en-IE"/>
        </w:rPr>
      </w:pPr>
    </w:p>
    <w:p w14:paraId="1D487673" w14:textId="77777777" w:rsidR="0011446E" w:rsidRPr="009517C4" w:rsidRDefault="0011446E" w:rsidP="00E96457">
      <w:pPr>
        <w:rPr>
          <w:bCs/>
          <w:szCs w:val="24"/>
          <w:lang w:val="en-IE"/>
        </w:rPr>
      </w:pPr>
    </w:p>
    <w:p w14:paraId="56F300A4" w14:textId="63F76F03" w:rsidR="00272ED0" w:rsidRPr="009517C4" w:rsidRDefault="00272ED0" w:rsidP="00272ED0">
      <w:pPr>
        <w:rPr>
          <w:szCs w:val="24"/>
        </w:rPr>
      </w:pPr>
      <w:r w:rsidRPr="009517C4">
        <w:rPr>
          <w:noProof/>
          <w:szCs w:val="24"/>
          <w:lang w:val="en-IE" w:eastAsia="en-IE"/>
        </w:rPr>
        <w:drawing>
          <wp:inline distT="0" distB="0" distL="0" distR="0" wp14:anchorId="35D043F4" wp14:editId="11CBACA7">
            <wp:extent cx="1591945" cy="533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940" cy="53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AB320" w14:textId="7D21AB02" w:rsidR="000E1566" w:rsidRPr="009517C4" w:rsidRDefault="00272ED0">
      <w:pPr>
        <w:rPr>
          <w:b/>
          <w:szCs w:val="24"/>
        </w:rPr>
      </w:pPr>
      <w:r w:rsidRPr="009517C4">
        <w:rPr>
          <w:b/>
          <w:szCs w:val="24"/>
        </w:rPr>
        <w:t xml:space="preserve">John </w:t>
      </w:r>
      <w:r w:rsidR="0099506A" w:rsidRPr="009517C4">
        <w:rPr>
          <w:b/>
          <w:szCs w:val="24"/>
        </w:rPr>
        <w:t>Meade - H</w:t>
      </w:r>
      <w:r w:rsidR="004F3712" w:rsidRPr="009517C4">
        <w:rPr>
          <w:b/>
          <w:szCs w:val="24"/>
        </w:rPr>
        <w:t>on Secretary</w:t>
      </w:r>
      <w:r w:rsidRPr="009517C4">
        <w:rPr>
          <w:b/>
          <w:szCs w:val="24"/>
        </w:rPr>
        <w:t xml:space="preserve">  </w:t>
      </w:r>
    </w:p>
    <w:p w14:paraId="39ADF313" w14:textId="020A14AC" w:rsidR="000E1566" w:rsidRPr="009517C4" w:rsidRDefault="000E1566">
      <w:pPr>
        <w:overflowPunct/>
        <w:autoSpaceDE/>
        <w:autoSpaceDN/>
        <w:adjustRightInd/>
        <w:textAlignment w:val="auto"/>
        <w:rPr>
          <w:b/>
          <w:szCs w:val="24"/>
        </w:rPr>
      </w:pPr>
    </w:p>
    <w:sectPr w:rsidR="000E1566" w:rsidRPr="009517C4" w:rsidSect="00F00251">
      <w:headerReference w:type="default" r:id="rId9"/>
      <w:pgSz w:w="11907" w:h="16840" w:code="9"/>
      <w:pgMar w:top="2835" w:right="1134" w:bottom="680" w:left="1134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76342" w14:textId="77777777" w:rsidR="00060CB0" w:rsidRDefault="00060CB0" w:rsidP="00CD26A7">
      <w:r>
        <w:separator/>
      </w:r>
    </w:p>
  </w:endnote>
  <w:endnote w:type="continuationSeparator" w:id="0">
    <w:p w14:paraId="49A9DFA7" w14:textId="77777777" w:rsidR="00060CB0" w:rsidRDefault="00060CB0" w:rsidP="00CD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ACB6" w14:textId="77777777" w:rsidR="00060CB0" w:rsidRDefault="00060CB0" w:rsidP="00CD26A7">
      <w:r>
        <w:separator/>
      </w:r>
    </w:p>
  </w:footnote>
  <w:footnote w:type="continuationSeparator" w:id="0">
    <w:p w14:paraId="43EF8B00" w14:textId="77777777" w:rsidR="00060CB0" w:rsidRDefault="00060CB0" w:rsidP="00CD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1BF3" w14:textId="03D9D56E" w:rsidR="00CD26A7" w:rsidRDefault="00F824BD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4FC8672C" wp14:editId="46B2FE39">
          <wp:simplePos x="0" y="0"/>
          <wp:positionH relativeFrom="column">
            <wp:posOffset>-853440</wp:posOffset>
          </wp:positionH>
          <wp:positionV relativeFrom="paragraph">
            <wp:posOffset>-450215</wp:posOffset>
          </wp:positionV>
          <wp:extent cx="7559644" cy="10690041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A-Letterhead-Mock-Up_Feb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4" cy="10690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712">
      <w:rPr>
        <w:noProof/>
        <w:lang w:val="en-IE" w:eastAsia="en-IE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460C"/>
    <w:multiLevelType w:val="hybridMultilevel"/>
    <w:tmpl w:val="202C7A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0C02"/>
    <w:multiLevelType w:val="hybridMultilevel"/>
    <w:tmpl w:val="CD5E4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005C"/>
    <w:multiLevelType w:val="hybridMultilevel"/>
    <w:tmpl w:val="D1A64D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5E28"/>
    <w:multiLevelType w:val="hybridMultilevel"/>
    <w:tmpl w:val="B0005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3178"/>
    <w:multiLevelType w:val="hybridMultilevel"/>
    <w:tmpl w:val="F064E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02FD"/>
    <w:multiLevelType w:val="hybridMultilevel"/>
    <w:tmpl w:val="94B8D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7"/>
    <w:rsid w:val="000023EE"/>
    <w:rsid w:val="000222C5"/>
    <w:rsid w:val="0002570B"/>
    <w:rsid w:val="00033D1A"/>
    <w:rsid w:val="000366F6"/>
    <w:rsid w:val="000378D7"/>
    <w:rsid w:val="00046147"/>
    <w:rsid w:val="00057438"/>
    <w:rsid w:val="00060CB0"/>
    <w:rsid w:val="000967BD"/>
    <w:rsid w:val="000B2661"/>
    <w:rsid w:val="000B7C82"/>
    <w:rsid w:val="000D03B2"/>
    <w:rsid w:val="000D0F3F"/>
    <w:rsid w:val="000E1566"/>
    <w:rsid w:val="000E7E06"/>
    <w:rsid w:val="0011446E"/>
    <w:rsid w:val="00117FC8"/>
    <w:rsid w:val="001257A8"/>
    <w:rsid w:val="00125D87"/>
    <w:rsid w:val="00133357"/>
    <w:rsid w:val="00163D95"/>
    <w:rsid w:val="00172A69"/>
    <w:rsid w:val="001854B6"/>
    <w:rsid w:val="00190A4A"/>
    <w:rsid w:val="001A2DCA"/>
    <w:rsid w:val="001A3613"/>
    <w:rsid w:val="001B0B61"/>
    <w:rsid w:val="001B7DE6"/>
    <w:rsid w:val="001D3FA8"/>
    <w:rsid w:val="001E6D78"/>
    <w:rsid w:val="001F571F"/>
    <w:rsid w:val="002019E2"/>
    <w:rsid w:val="00237A74"/>
    <w:rsid w:val="00260415"/>
    <w:rsid w:val="00272ED0"/>
    <w:rsid w:val="00283D5A"/>
    <w:rsid w:val="00300533"/>
    <w:rsid w:val="00311421"/>
    <w:rsid w:val="0032603F"/>
    <w:rsid w:val="00340DBD"/>
    <w:rsid w:val="00343A70"/>
    <w:rsid w:val="003501BC"/>
    <w:rsid w:val="00354147"/>
    <w:rsid w:val="003741F7"/>
    <w:rsid w:val="00380CA0"/>
    <w:rsid w:val="0038251F"/>
    <w:rsid w:val="003A569A"/>
    <w:rsid w:val="003C3363"/>
    <w:rsid w:val="003C4609"/>
    <w:rsid w:val="003C5A07"/>
    <w:rsid w:val="003E36F6"/>
    <w:rsid w:val="003F42A1"/>
    <w:rsid w:val="00404FF0"/>
    <w:rsid w:val="0041303C"/>
    <w:rsid w:val="00413DFF"/>
    <w:rsid w:val="00434AC3"/>
    <w:rsid w:val="00434FF6"/>
    <w:rsid w:val="0043737A"/>
    <w:rsid w:val="00451465"/>
    <w:rsid w:val="00474E61"/>
    <w:rsid w:val="004A2EAB"/>
    <w:rsid w:val="004C0767"/>
    <w:rsid w:val="004C6B7F"/>
    <w:rsid w:val="004D10E1"/>
    <w:rsid w:val="004E5729"/>
    <w:rsid w:val="004F3712"/>
    <w:rsid w:val="00501F54"/>
    <w:rsid w:val="00537093"/>
    <w:rsid w:val="0056647D"/>
    <w:rsid w:val="00583691"/>
    <w:rsid w:val="00597478"/>
    <w:rsid w:val="005B0700"/>
    <w:rsid w:val="005C73FF"/>
    <w:rsid w:val="005D78D0"/>
    <w:rsid w:val="005F6B96"/>
    <w:rsid w:val="00632F72"/>
    <w:rsid w:val="0064491F"/>
    <w:rsid w:val="006759AC"/>
    <w:rsid w:val="00676448"/>
    <w:rsid w:val="006B7D2C"/>
    <w:rsid w:val="006D1543"/>
    <w:rsid w:val="00715043"/>
    <w:rsid w:val="007225AF"/>
    <w:rsid w:val="00723F01"/>
    <w:rsid w:val="00733C9D"/>
    <w:rsid w:val="007414CD"/>
    <w:rsid w:val="007476BA"/>
    <w:rsid w:val="007838B1"/>
    <w:rsid w:val="007B4C72"/>
    <w:rsid w:val="007B7C13"/>
    <w:rsid w:val="007E5599"/>
    <w:rsid w:val="008035D5"/>
    <w:rsid w:val="00813A45"/>
    <w:rsid w:val="00814F5E"/>
    <w:rsid w:val="00845B5A"/>
    <w:rsid w:val="00856AC3"/>
    <w:rsid w:val="00863761"/>
    <w:rsid w:val="00895FBB"/>
    <w:rsid w:val="008A20AD"/>
    <w:rsid w:val="008A7AA9"/>
    <w:rsid w:val="008C53FD"/>
    <w:rsid w:val="008C5D45"/>
    <w:rsid w:val="008D6232"/>
    <w:rsid w:val="008E0D2F"/>
    <w:rsid w:val="008F20C1"/>
    <w:rsid w:val="00914C80"/>
    <w:rsid w:val="009200BA"/>
    <w:rsid w:val="00935617"/>
    <w:rsid w:val="0093622D"/>
    <w:rsid w:val="00944C76"/>
    <w:rsid w:val="009517C4"/>
    <w:rsid w:val="0096185C"/>
    <w:rsid w:val="0097254C"/>
    <w:rsid w:val="00993BD5"/>
    <w:rsid w:val="0099506A"/>
    <w:rsid w:val="009C30F4"/>
    <w:rsid w:val="009D441D"/>
    <w:rsid w:val="00A106CF"/>
    <w:rsid w:val="00A12BC5"/>
    <w:rsid w:val="00A15309"/>
    <w:rsid w:val="00A41710"/>
    <w:rsid w:val="00A463E4"/>
    <w:rsid w:val="00A61F21"/>
    <w:rsid w:val="00A71EAA"/>
    <w:rsid w:val="00A765E6"/>
    <w:rsid w:val="00AD58DF"/>
    <w:rsid w:val="00AF06DC"/>
    <w:rsid w:val="00B15989"/>
    <w:rsid w:val="00B27ECF"/>
    <w:rsid w:val="00B44E88"/>
    <w:rsid w:val="00B51FEC"/>
    <w:rsid w:val="00B652A0"/>
    <w:rsid w:val="00B916F3"/>
    <w:rsid w:val="00B96A7A"/>
    <w:rsid w:val="00BB1993"/>
    <w:rsid w:val="00BB598C"/>
    <w:rsid w:val="00BD5B0B"/>
    <w:rsid w:val="00BF44B9"/>
    <w:rsid w:val="00BF6DDA"/>
    <w:rsid w:val="00C0230B"/>
    <w:rsid w:val="00C1427A"/>
    <w:rsid w:val="00C30947"/>
    <w:rsid w:val="00C36392"/>
    <w:rsid w:val="00C37429"/>
    <w:rsid w:val="00C37CD7"/>
    <w:rsid w:val="00C71870"/>
    <w:rsid w:val="00C7259A"/>
    <w:rsid w:val="00C72808"/>
    <w:rsid w:val="00C74340"/>
    <w:rsid w:val="00CB5716"/>
    <w:rsid w:val="00CB6078"/>
    <w:rsid w:val="00CD1A0D"/>
    <w:rsid w:val="00CD26A7"/>
    <w:rsid w:val="00CF570C"/>
    <w:rsid w:val="00D000B0"/>
    <w:rsid w:val="00D21DE3"/>
    <w:rsid w:val="00D21ED5"/>
    <w:rsid w:val="00D6012B"/>
    <w:rsid w:val="00DA557D"/>
    <w:rsid w:val="00DB0EFC"/>
    <w:rsid w:val="00DB74C1"/>
    <w:rsid w:val="00DE6B63"/>
    <w:rsid w:val="00E02D90"/>
    <w:rsid w:val="00E42ECC"/>
    <w:rsid w:val="00E73EF7"/>
    <w:rsid w:val="00E7752C"/>
    <w:rsid w:val="00E87D6E"/>
    <w:rsid w:val="00E96457"/>
    <w:rsid w:val="00EB653B"/>
    <w:rsid w:val="00EC00F5"/>
    <w:rsid w:val="00ED01B1"/>
    <w:rsid w:val="00EE2C4D"/>
    <w:rsid w:val="00EE4866"/>
    <w:rsid w:val="00F00251"/>
    <w:rsid w:val="00F042C7"/>
    <w:rsid w:val="00F2438D"/>
    <w:rsid w:val="00F51D47"/>
    <w:rsid w:val="00F824BD"/>
    <w:rsid w:val="00F9618B"/>
    <w:rsid w:val="00F96486"/>
    <w:rsid w:val="00FA78E4"/>
    <w:rsid w:val="00FD43B2"/>
    <w:rsid w:val="00FE49DB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A8236"/>
  <w15:docId w15:val="{BA4396A3-E5A7-4BB6-878D-852B773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1F7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GB"/>
    </w:rPr>
  </w:style>
  <w:style w:type="paragraph" w:styleId="Heading3">
    <w:name w:val="heading 3"/>
    <w:basedOn w:val="Normal"/>
    <w:next w:val="Normal"/>
    <w:qFormat/>
    <w:rsid w:val="006B7D2C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44C76"/>
    <w:rPr>
      <w:rFonts w:ascii="Arial" w:hAnsi="Arial" w:cs="Arial"/>
      <w:b/>
      <w:color w:val="800000"/>
      <w:sz w:val="20"/>
    </w:rPr>
  </w:style>
  <w:style w:type="paragraph" w:styleId="BalloonText">
    <w:name w:val="Balloon Text"/>
    <w:basedOn w:val="Normal"/>
    <w:semiHidden/>
    <w:rsid w:val="006B7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26A7"/>
    <w:rPr>
      <w:sz w:val="24"/>
      <w:lang w:val="en-GB" w:eastAsia="en-GB"/>
    </w:rPr>
  </w:style>
  <w:style w:type="paragraph" w:styleId="Footer">
    <w:name w:val="footer"/>
    <w:basedOn w:val="Normal"/>
    <w:link w:val="FooterChar"/>
    <w:unhideWhenUsed/>
    <w:rsid w:val="00CD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26A7"/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035D5"/>
    <w:pPr>
      <w:ind w:left="720"/>
      <w:contextualSpacing/>
    </w:pPr>
  </w:style>
  <w:style w:type="table" w:styleId="TableGrid">
    <w:name w:val="Table Grid"/>
    <w:basedOn w:val="TableNormal"/>
    <w:rsid w:val="0097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E458-A48D-4497-843C-084FCCAB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Raheny Business Association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Raheny Business Association</dc:title>
  <dc:creator>Barry Murphy</dc:creator>
  <cp:lastModifiedBy>Barry Murphy</cp:lastModifiedBy>
  <cp:revision>3</cp:revision>
  <cp:lastPrinted>2020-09-10T15:03:00Z</cp:lastPrinted>
  <dcterms:created xsi:type="dcterms:W3CDTF">2021-02-09T15:11:00Z</dcterms:created>
  <dcterms:modified xsi:type="dcterms:W3CDTF">2021-02-09T15:42:00Z</dcterms:modified>
</cp:coreProperties>
</file>